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rPr>
          <w:rFonts w:hint="eastAsia" w:ascii="方正小标宋简体" w:hAnsi="仿宋" w:eastAsia="方正小标宋简体"/>
          <w:sz w:val="44"/>
          <w:szCs w:val="44"/>
          <w:lang w:val="en-US" w:eastAsia="zh-CN"/>
        </w:rPr>
      </w:pPr>
      <w:r>
        <w:rPr>
          <w:rFonts w:hint="eastAsia" w:ascii="方正小标宋简体" w:hAnsi="仿宋" w:eastAsia="方正小标宋简体"/>
          <w:sz w:val="44"/>
          <w:szCs w:val="44"/>
          <w:lang w:val="en-US" w:eastAsia="zh-CN"/>
        </w:rPr>
        <w:t>附件</w:t>
      </w:r>
    </w:p>
    <w:p>
      <w:pPr>
        <w:spacing w:line="560" w:lineRule="exact"/>
        <w:jc w:val="center"/>
        <w:rPr>
          <w:rFonts w:ascii="方正小标宋简体" w:hAnsi="仿宋" w:eastAsia="方正小标宋简体"/>
          <w:sz w:val="44"/>
          <w:szCs w:val="44"/>
        </w:rPr>
      </w:pPr>
      <w:r>
        <w:rPr>
          <w:rFonts w:hint="eastAsia" w:ascii="方正小标宋简体" w:hAnsi="仿宋" w:eastAsia="方正小标宋简体"/>
          <w:sz w:val="44"/>
          <w:szCs w:val="44"/>
        </w:rPr>
        <w:t>2021年湖北高校省级教学改革</w:t>
      </w:r>
    </w:p>
    <w:p>
      <w:pPr>
        <w:spacing w:line="560" w:lineRule="exact"/>
        <w:jc w:val="center"/>
        <w:rPr>
          <w:rFonts w:hint="eastAsia" w:ascii="方正小标宋简体" w:hAnsi="仿宋" w:eastAsia="方正小标宋简体"/>
          <w:sz w:val="44"/>
          <w:szCs w:val="44"/>
          <w:lang w:val="en-US" w:eastAsia="zh-CN"/>
        </w:rPr>
      </w:pPr>
      <w:r>
        <w:rPr>
          <w:rFonts w:hint="eastAsia" w:ascii="方正小标宋简体" w:hAnsi="仿宋" w:eastAsia="方正小标宋简体"/>
          <w:sz w:val="44"/>
          <w:szCs w:val="44"/>
        </w:rPr>
        <w:t>研究项目申报</w:t>
      </w:r>
      <w:r>
        <w:rPr>
          <w:rFonts w:hint="eastAsia" w:ascii="方正小标宋简体" w:hAnsi="仿宋" w:eastAsia="方正小标宋简体"/>
          <w:sz w:val="44"/>
          <w:szCs w:val="44"/>
          <w:lang w:eastAsia="zh-CN"/>
        </w:rPr>
        <w:t>通知</w:t>
      </w:r>
    </w:p>
    <w:p>
      <w:pPr>
        <w:spacing w:line="560" w:lineRule="exact"/>
        <w:rPr>
          <w:rFonts w:ascii="仿宋" w:hAnsi="仿宋" w:eastAsia="仿宋"/>
          <w:sz w:val="32"/>
          <w:szCs w:val="32"/>
        </w:rPr>
      </w:pPr>
    </w:p>
    <w:p>
      <w:pPr>
        <w:spacing w:line="560" w:lineRule="exact"/>
        <w:ind w:firstLine="632" w:firstLineChars="200"/>
        <w:rPr>
          <w:rFonts w:ascii="黑体" w:hAnsi="黑体" w:eastAsia="黑体"/>
          <w:sz w:val="32"/>
          <w:szCs w:val="32"/>
        </w:rPr>
      </w:pPr>
      <w:r>
        <w:rPr>
          <w:rFonts w:hint="eastAsia" w:ascii="黑体" w:hAnsi="黑体" w:eastAsia="黑体"/>
          <w:sz w:val="32"/>
          <w:szCs w:val="32"/>
        </w:rPr>
        <w:t>一、总体要求</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坚持以习近平新时代中国特色社会主义思想为指导，全面贯彻党的十九大和十九届二中、三中、四中、五中全会精神，全面贯彻全国教育工作会议、全省高校本科教育工作会议精神，以教育部全面振兴本科教育攻坚行动和“奋进之笔”行动计划实施为引领，全面落实立德树人根本任务，聚焦全面深化本科教育教学改革，持续推进人才培养供给侧改革、“三全育人”、课程思政建设、“四新建设”、一流本科专业和一流课程建设“双万计划”、“六卓越一拔尖”计划2.0、提升教师教学能力、课堂教学革命、严格教学过程管理等重点任务，坚持教研结合、整体推进，以高质量的教学研究指导和带动教学改革实践，培育高水平教学成果，全面提高人才培养质量。</w:t>
      </w:r>
    </w:p>
    <w:p>
      <w:pPr>
        <w:spacing w:line="560" w:lineRule="exact"/>
        <w:ind w:firstLine="632" w:firstLineChars="200"/>
        <w:rPr>
          <w:rFonts w:ascii="黑体" w:hAnsi="黑体" w:eastAsia="黑体"/>
          <w:sz w:val="32"/>
          <w:szCs w:val="32"/>
        </w:rPr>
      </w:pPr>
      <w:r>
        <w:rPr>
          <w:rFonts w:hint="eastAsia" w:ascii="黑体" w:hAnsi="黑体" w:eastAsia="黑体"/>
          <w:sz w:val="32"/>
          <w:szCs w:val="32"/>
        </w:rPr>
        <w:t>二、立项原则</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省级教学改革研究项目立项工作要突出创新性原则，充分体现具有时代特色的新教育理念、促进学生全面发展的要求；突出示范性原则，起到引领方向、推动教改、发挥示范的作用；突出科学性原则，符合人才培养规律、学科发展规律、教育教学规律和学生身心发展规律；突出应用性原则，坚持理论与实践相结合，必须有严格的实践检验期，实践检验效果好。</w:t>
      </w:r>
    </w:p>
    <w:p>
      <w:pPr>
        <w:spacing w:line="560" w:lineRule="exact"/>
        <w:ind w:firstLine="632" w:firstLineChars="200"/>
        <w:rPr>
          <w:rFonts w:ascii="黑体" w:hAnsi="黑体" w:eastAsia="黑体"/>
          <w:sz w:val="32"/>
          <w:szCs w:val="32"/>
        </w:rPr>
      </w:pPr>
      <w:r>
        <w:rPr>
          <w:rFonts w:hint="eastAsia" w:ascii="黑体" w:hAnsi="黑体" w:eastAsia="黑体"/>
          <w:sz w:val="32"/>
          <w:szCs w:val="32"/>
        </w:rPr>
        <w:t>三、立项范围</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省级教学改革研究项目立项范围为全省普通高校（含本科高校、独立学院、军事院校、高职高专院校、成人高校），参与人员以教学一线人员、专业技术人员、中青年骨干教师、教学管理人员等为主体。研究内容参考《2021年湖北省高等学校省级教学改革研究项目指南》（附件1）。</w:t>
      </w:r>
    </w:p>
    <w:p>
      <w:pPr>
        <w:spacing w:line="560" w:lineRule="exact"/>
        <w:ind w:firstLine="632" w:firstLineChars="200"/>
        <w:rPr>
          <w:rFonts w:ascii="黑体" w:hAnsi="黑体" w:eastAsia="黑体"/>
          <w:sz w:val="32"/>
          <w:szCs w:val="32"/>
        </w:rPr>
      </w:pPr>
      <w:r>
        <w:rPr>
          <w:rFonts w:hint="eastAsia" w:ascii="黑体" w:hAnsi="黑体" w:eastAsia="黑体"/>
          <w:sz w:val="32"/>
          <w:szCs w:val="32"/>
        </w:rPr>
        <w:t>四、立项类别</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省级教学改革研究项目立项分为一般项目、委托项目两类。一般项目按照属性分研究生教育教学项目、本科教育教学项目和高职高专教育教学项目；委托项目由省教育厅根据教育教学改革的热点、难点问题和需要，直接指定相关高校承担项目研究，委托的项目应是适应时代要求，具有领先理念和较好研究基础，采用现代科研手段，研究成果具有较高理论水平和推广应用价值，对提高人才培养质量有重要促进作用，影响面广、推广价值大、社会效益好、有一定深度和难度的研究项目。同时，省教育厅委托湖北省高校实验室工作研究会组织开展实验室专题教学改革项目研究，委托湖北省高等教育学会大学外语教学专业委员会组织开展大学英语专题教学改革项目研究。</w:t>
      </w:r>
    </w:p>
    <w:p>
      <w:pPr>
        <w:spacing w:line="560" w:lineRule="exact"/>
        <w:ind w:firstLine="632" w:firstLineChars="200"/>
        <w:rPr>
          <w:rFonts w:ascii="黑体" w:hAnsi="黑体" w:eastAsia="黑体"/>
          <w:sz w:val="32"/>
          <w:szCs w:val="32"/>
        </w:rPr>
      </w:pPr>
      <w:r>
        <w:rPr>
          <w:rFonts w:hint="eastAsia" w:ascii="黑体" w:hAnsi="黑体" w:eastAsia="黑体"/>
          <w:sz w:val="32"/>
          <w:szCs w:val="32"/>
        </w:rPr>
        <w:t>五、申报条件</w:t>
      </w:r>
    </w:p>
    <w:p>
      <w:pPr>
        <w:spacing w:line="560" w:lineRule="exact"/>
        <w:ind w:firstLine="632" w:firstLineChars="200"/>
        <w:rPr>
          <w:rFonts w:ascii="楷体_GB2312" w:hAnsi="仿宋" w:eastAsia="楷体_GB2312"/>
          <w:b/>
          <w:sz w:val="32"/>
          <w:szCs w:val="32"/>
        </w:rPr>
      </w:pPr>
      <w:r>
        <w:rPr>
          <w:rFonts w:hint="eastAsia" w:ascii="楷体_GB2312" w:hAnsi="仿宋" w:eastAsia="楷体_GB2312"/>
          <w:b/>
          <w:sz w:val="32"/>
          <w:szCs w:val="32"/>
        </w:rPr>
        <w:t>（一）省级教学改革研究项目基本条件</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1.项目选题符合《</w:t>
      </w:r>
      <w:r>
        <w:rPr>
          <w:rFonts w:hint="eastAsia" w:ascii="仿宋" w:hAnsi="仿宋" w:eastAsia="仿宋"/>
          <w:spacing w:val="-14"/>
          <w:sz w:val="32"/>
          <w:szCs w:val="32"/>
        </w:rPr>
        <w:t>2021年湖北省高等学校省级教学改革研究项目指南</w:t>
      </w:r>
      <w:r>
        <w:rPr>
          <w:rFonts w:hint="eastAsia" w:ascii="仿宋" w:hAnsi="仿宋" w:eastAsia="仿宋"/>
          <w:sz w:val="32"/>
          <w:szCs w:val="32"/>
        </w:rPr>
        <w:t>》（附件1）的要求，其中大学体育类教学改革项目选题参照《湖北省普通高等学校体育类教学改革研究项目指南》执行。</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2.项目研究目标明确，有较好的研究和改革实践基础，研究力量较强，遵循教育教学规律，反映省教学研究项目立项的指导思想，体现教育改革发展新要求，改革路线清晰，改革举措切实有效，有利于增强人才培养的适应性，有利于提高教学质量。</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3.项目研究设计科学合理，理论与实践结合，研究与改革实践结合，研究方法和实践途径可行。</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4.项目注重实际应用，对提高人才培养质量和改善教学管理有指导作用和推广应用价值，项目完成后可在一定范围内发挥示范辐射作用。</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5.经项目所在学校组织初审、择优向省教育厅统一推荐，并由学校给予经费支持，申请经费及经费预算安排合理且学校能保证项目研究和实践条件。</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有以下情形之一的项目，原则上不再重复申报：</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1.近3年已有相同或相近立项项目，相比之下没有明显创新的申报项目。</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2.获得各级教学成果奖励后，无新研究内容、无可预期的重要突破的项目。</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3.已获得国家、直属部门或省（市）级及以上相关学（协）会等立项支持的项目；已获得国家、省（市）自然科学基金、人文社会科学研究等立项的项目；已获得国家、省（市）级教育科学研究立项的项目。</w:t>
      </w:r>
    </w:p>
    <w:p>
      <w:pPr>
        <w:spacing w:line="560" w:lineRule="exact"/>
        <w:ind w:firstLine="632" w:firstLineChars="200"/>
        <w:rPr>
          <w:rFonts w:ascii="楷体_GB2312" w:hAnsi="仿宋" w:eastAsia="楷体_GB2312"/>
          <w:b/>
          <w:sz w:val="32"/>
          <w:szCs w:val="32"/>
        </w:rPr>
      </w:pPr>
      <w:r>
        <w:rPr>
          <w:rFonts w:hint="eastAsia" w:ascii="楷体_GB2312" w:hAnsi="仿宋" w:eastAsia="楷体_GB2312"/>
          <w:b/>
          <w:sz w:val="32"/>
          <w:szCs w:val="32"/>
        </w:rPr>
        <w:t>（二）省级教学改革研究项目完成人基本条件</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1.项目的主持人一般应承担过校级以上教学研究项目,具有副高及以上职称或博士学位；确有较强教学或教学研究水平、且在教学一线或教学管理岗位连续工作5年及以上，学校在申报时可按照规定程序放宽至中级职称。</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2.实行项目主持人负责制，主持人限一人，参研人员一般在5人左右（含主持人）。学校申报省级教学改革研究项目时，应向教学一线人员倾斜，确保教学第一线教师的申报项目比例不少于80%。</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3.承担有省级教学改革研究项目的主持人，其承担的省级项目完成结题后方可申报新的省级教学改革研究项目；作为项目主持人的，同一年度不得同时申报主持两个及以上项目。</w:t>
      </w:r>
    </w:p>
    <w:p>
      <w:pPr>
        <w:spacing w:line="560" w:lineRule="exact"/>
        <w:ind w:firstLine="632" w:firstLineChars="200"/>
        <w:rPr>
          <w:rFonts w:ascii="黑体" w:hAnsi="黑体" w:eastAsia="黑体"/>
          <w:sz w:val="32"/>
          <w:szCs w:val="32"/>
        </w:rPr>
      </w:pPr>
      <w:r>
        <w:rPr>
          <w:rFonts w:hint="eastAsia" w:ascii="黑体" w:hAnsi="黑体" w:eastAsia="黑体"/>
          <w:sz w:val="32"/>
          <w:szCs w:val="32"/>
        </w:rPr>
        <w:t>六、申报推荐及立项名额</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2021年省级教学改革研究项目立项总数为600项左右。</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一般项目的推荐名额为：部委属高校和省属高校中的大学按专任教师人数的1.5%推荐；其他本科高校、独立学院按专任教师人数的1%推荐；高职高专院校及成人高校按专任教师人数的0.5%推荐。举办有研究生教育的高校，在推荐时应兼顾研究生教育教学改革，可按本校一般项目推荐名额20%左右的比例推荐研究生教育教学改革项目；博士学位授权高校且承担有国家研究生教育综合改革任务的，研究生教育教学改革项目推荐名额可适当高于20%。研究生教育教学改革项目推荐名额纳入本校一般项目推荐名额。为鼓励高校开展大学体育教学研究和实践，各高校可额外申报大学体育教学改革研究项目，每校申报数量不超过2项，不占用本校一般项目推荐名额。</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实验室研究专项、大学英语研究专项的申报、评审实行统一布置、分别评审，按同等标准、同质同效的办法予以推荐，分别由湖北省高校实验室工作研究会和湖北省高等教育学会大学外语教学专业委员会组织进行，推荐结果由省教育厅综合统筹纳入立项，各高校此次不再单独申报。</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各高校要严格按限额组织省级教学改革研究项目的申报推荐，超报将不予受理。</w:t>
      </w:r>
    </w:p>
    <w:p>
      <w:pPr>
        <w:spacing w:line="560" w:lineRule="exact"/>
        <w:ind w:firstLine="632" w:firstLineChars="200"/>
        <w:rPr>
          <w:rFonts w:ascii="黑体" w:hAnsi="黑体" w:eastAsia="黑体"/>
          <w:sz w:val="32"/>
          <w:szCs w:val="32"/>
        </w:rPr>
      </w:pPr>
      <w:r>
        <w:rPr>
          <w:rFonts w:hint="eastAsia" w:ascii="黑体" w:hAnsi="黑体" w:eastAsia="黑体"/>
          <w:sz w:val="32"/>
          <w:szCs w:val="32"/>
        </w:rPr>
        <w:t>七、申报材料</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各高校经组织遴选推荐，填写《2021年湖北省高等学校省级教学改革研究项目申请汇总表》（附2），申请人需填写《湖北省高等学校省级教学研究项目申请书》（附3），同时制作《申请书简表》并进行网络申报。</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申请书简表》的制作方法是：在《申请书》的基础上，删除“申请书封面”、“一、简介”页等内容，“六、推荐、评审中的学校教学研究管理部门审核意见”栏空置，在首页（即“二、立项背景和意义”）上另加注“XXX研究项目申请简表”即可，在相关内容中不得出现项目申请人姓名及所在学校等相关信息，如无法回避，请以“本人”或“本校”代替。</w:t>
      </w:r>
    </w:p>
    <w:p>
      <w:pPr>
        <w:spacing w:line="560" w:lineRule="exact"/>
        <w:ind w:firstLine="632" w:firstLineChars="200"/>
        <w:rPr>
          <w:rFonts w:ascii="黑体" w:hAnsi="黑体" w:eastAsia="黑体"/>
          <w:sz w:val="32"/>
          <w:szCs w:val="32"/>
        </w:rPr>
      </w:pPr>
      <w:r>
        <w:rPr>
          <w:rFonts w:hint="eastAsia" w:ascii="黑体" w:hAnsi="黑体" w:eastAsia="黑体"/>
          <w:sz w:val="32"/>
          <w:szCs w:val="32"/>
        </w:rPr>
        <w:t>八、申报办法</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各高校请将含全部申报项目的《2021年湖北省高等学校省级教学改革研究项目申请汇总表》PDF版（盖学校公章）、Excel版各一份发至省教育厅高等教育处邮箱；各校须同时在湖北高校省级教学研究项目网络申报评审平台网站（网址：http://jyxm.e21.cn）完成网络申报，网络申报具体办法见平台通知，申报截止时间为8月30日，逾期不予受理。</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本通知所附项目指南、《汇总表》、《申请书》等附件不印发纸质稿，请各校在网络申报评审平台下载。</w:t>
      </w:r>
    </w:p>
    <w:p>
      <w:pPr>
        <w:spacing w:line="560" w:lineRule="exact"/>
        <w:ind w:firstLine="632" w:firstLineChars="200"/>
        <w:rPr>
          <w:rFonts w:ascii="仿宋" w:hAnsi="仿宋" w:eastAsia="仿宋"/>
          <w:sz w:val="32"/>
          <w:szCs w:val="32"/>
        </w:rPr>
      </w:pPr>
      <w:r>
        <w:rPr>
          <w:rFonts w:hint="eastAsia" w:ascii="仿宋" w:hAnsi="仿宋" w:eastAsia="仿宋"/>
          <w:sz w:val="32"/>
          <w:szCs w:val="32"/>
        </w:rPr>
        <w:t>省教育厅高等教育处联系电话：027-87328172，电子邮箱：hbjytgjc@163.com。</w:t>
      </w:r>
    </w:p>
    <w:p>
      <w:pPr>
        <w:spacing w:line="560" w:lineRule="exact"/>
        <w:rPr>
          <w:rFonts w:ascii="仿宋" w:hAnsi="仿宋" w:eastAsia="仿宋"/>
          <w:sz w:val="32"/>
          <w:szCs w:val="32"/>
        </w:rPr>
      </w:pPr>
      <w:bookmarkStart w:id="0" w:name="_GoBack"/>
      <w:bookmarkEnd w:id="0"/>
    </w:p>
    <w:p>
      <w:pPr>
        <w:spacing w:line="560" w:lineRule="exact"/>
        <w:ind w:firstLine="632" w:firstLineChars="200"/>
        <w:rPr>
          <w:rFonts w:ascii="仿宋" w:hAnsi="仿宋" w:eastAsia="仿宋"/>
          <w:sz w:val="32"/>
          <w:szCs w:val="32"/>
        </w:rPr>
      </w:pPr>
    </w:p>
    <w:p>
      <w:pPr>
        <w:spacing w:line="560" w:lineRule="exact"/>
        <w:ind w:firstLine="632" w:firstLineChars="200"/>
        <w:rPr>
          <w:rFonts w:ascii="仿宋" w:hAnsi="仿宋" w:eastAsia="仿宋"/>
          <w:sz w:val="32"/>
          <w:szCs w:val="32"/>
        </w:rPr>
      </w:pPr>
    </w:p>
    <w:p>
      <w:pPr>
        <w:spacing w:line="560" w:lineRule="exact"/>
        <w:ind w:firstLine="158" w:firstLineChars="50"/>
        <w:rPr>
          <w:rFonts w:ascii="仿宋" w:hAnsi="仿宋" w:eastAsia="仿宋"/>
          <w:sz w:val="32"/>
          <w:szCs w:val="32"/>
        </w:rPr>
      </w:pPr>
      <w:r>
        <w:rPr>
          <w:rFonts w:hint="eastAsia" w:ascii="仿宋" w:hAnsi="仿宋" w:eastAsia="仿宋"/>
          <w:sz w:val="32"/>
          <w:szCs w:val="32"/>
        </w:rPr>
        <w:t xml:space="preserve">                       </w:t>
      </w:r>
    </w:p>
    <w:p>
      <w:pPr>
        <w:spacing w:line="500" w:lineRule="exact"/>
        <w:rPr>
          <w:rFonts w:ascii="宋体" w:hAnsi="宋体" w:eastAsia="宋体"/>
          <w:szCs w:val="21"/>
        </w:rPr>
      </w:pPr>
      <w:r>
        <w:rPr>
          <w:rFonts w:ascii="黑体" w:hAnsi="黑体" w:eastAsia="黑体"/>
          <w:sz w:val="32"/>
          <w:szCs w:val="32"/>
        </w:rPr>
        <w:br w:type="page"/>
      </w:r>
    </w:p>
    <w:p>
      <w:pPr>
        <w:spacing w:line="500" w:lineRule="exact"/>
        <w:rPr>
          <w:rFonts w:ascii="宋体" w:hAnsi="宋体" w:eastAsia="宋体"/>
          <w:szCs w:val="21"/>
        </w:rPr>
      </w:pPr>
    </w:p>
    <w:sectPr>
      <w:footerReference r:id="rId3" w:type="default"/>
      <w:pgSz w:w="11906" w:h="16838"/>
      <w:pgMar w:top="1928" w:right="1588" w:bottom="1531" w:left="1588" w:header="851" w:footer="1247" w:gutter="0"/>
      <w:cols w:space="425" w:num="1"/>
      <w:titlePg/>
      <w:docGrid w:type="linesAndChars" w:linePitch="608"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9"/>
        <w:rFonts w:ascii="仿宋_GB2312"/>
        <w:sz w:val="30"/>
        <w:szCs w:val="30"/>
      </w:rPr>
    </w:pPr>
    <w:r>
      <w:rPr>
        <w:rStyle w:val="9"/>
        <w:rFonts w:hint="eastAsia" w:ascii="仿宋_GB2312"/>
        <w:sz w:val="30"/>
        <w:szCs w:val="30"/>
      </w:rPr>
      <w:t xml:space="preserve">— </w:t>
    </w:r>
    <w:r>
      <w:rPr>
        <w:rFonts w:hint="eastAsia" w:ascii="仿宋_GB2312"/>
        <w:sz w:val="30"/>
        <w:szCs w:val="30"/>
      </w:rPr>
      <w:fldChar w:fldCharType="begin"/>
    </w:r>
    <w:r>
      <w:rPr>
        <w:rStyle w:val="9"/>
        <w:rFonts w:hint="eastAsia" w:ascii="仿宋_GB2312"/>
        <w:sz w:val="30"/>
        <w:szCs w:val="30"/>
      </w:rPr>
      <w:instrText xml:space="preserve"> PAGE </w:instrText>
    </w:r>
    <w:r>
      <w:rPr>
        <w:rFonts w:hint="eastAsia" w:ascii="仿宋_GB2312"/>
        <w:sz w:val="30"/>
        <w:szCs w:val="30"/>
      </w:rPr>
      <w:fldChar w:fldCharType="separate"/>
    </w:r>
    <w:r>
      <w:rPr>
        <w:rStyle w:val="9"/>
        <w:rFonts w:ascii="仿宋_GB2312"/>
        <w:sz w:val="30"/>
        <w:szCs w:val="30"/>
      </w:rPr>
      <w:t>22</w:t>
    </w:r>
    <w:r>
      <w:rPr>
        <w:rFonts w:hint="eastAsia" w:ascii="仿宋_GB2312"/>
        <w:sz w:val="30"/>
        <w:szCs w:val="30"/>
      </w:rPr>
      <w:fldChar w:fldCharType="end"/>
    </w:r>
    <w:r>
      <w:rPr>
        <w:rStyle w:val="9"/>
        <w:rFonts w:hint="eastAsia" w:ascii="仿宋_GB2312"/>
        <w:sz w:val="30"/>
        <w:szCs w:val="30"/>
      </w:rPr>
      <w:t xml:space="preserve"> —</w:t>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3"/>
  <w:drawingGridVerticalSpacing w:val="3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90A48"/>
    <w:rsid w:val="000029CD"/>
    <w:rsid w:val="00002EF3"/>
    <w:rsid w:val="00005BCB"/>
    <w:rsid w:val="00005D52"/>
    <w:rsid w:val="00005D99"/>
    <w:rsid w:val="00023F7C"/>
    <w:rsid w:val="000242D2"/>
    <w:rsid w:val="00026578"/>
    <w:rsid w:val="00032022"/>
    <w:rsid w:val="00032EFF"/>
    <w:rsid w:val="00036653"/>
    <w:rsid w:val="00041D5A"/>
    <w:rsid w:val="00046F56"/>
    <w:rsid w:val="0005313A"/>
    <w:rsid w:val="0005369A"/>
    <w:rsid w:val="00061D16"/>
    <w:rsid w:val="00074443"/>
    <w:rsid w:val="000826F1"/>
    <w:rsid w:val="00095D2E"/>
    <w:rsid w:val="000B1BA8"/>
    <w:rsid w:val="000B26D2"/>
    <w:rsid w:val="000B74E6"/>
    <w:rsid w:val="000C1702"/>
    <w:rsid w:val="000D323F"/>
    <w:rsid w:val="000D73C7"/>
    <w:rsid w:val="000F37F7"/>
    <w:rsid w:val="000F6A80"/>
    <w:rsid w:val="001140BE"/>
    <w:rsid w:val="0011738A"/>
    <w:rsid w:val="00120DB7"/>
    <w:rsid w:val="00121576"/>
    <w:rsid w:val="00150741"/>
    <w:rsid w:val="00180068"/>
    <w:rsid w:val="00185572"/>
    <w:rsid w:val="00191D7C"/>
    <w:rsid w:val="001962B2"/>
    <w:rsid w:val="001A13AF"/>
    <w:rsid w:val="001A1F36"/>
    <w:rsid w:val="001B2CAC"/>
    <w:rsid w:val="001B3EBC"/>
    <w:rsid w:val="001C5566"/>
    <w:rsid w:val="001C7557"/>
    <w:rsid w:val="001C7F4E"/>
    <w:rsid w:val="001D2678"/>
    <w:rsid w:val="001D737B"/>
    <w:rsid w:val="001E12E1"/>
    <w:rsid w:val="001E683E"/>
    <w:rsid w:val="001F2FA5"/>
    <w:rsid w:val="002033ED"/>
    <w:rsid w:val="00204F75"/>
    <w:rsid w:val="00220393"/>
    <w:rsid w:val="0022113B"/>
    <w:rsid w:val="00230463"/>
    <w:rsid w:val="002400F2"/>
    <w:rsid w:val="00241D8B"/>
    <w:rsid w:val="00253823"/>
    <w:rsid w:val="0025414E"/>
    <w:rsid w:val="0026289A"/>
    <w:rsid w:val="002718F8"/>
    <w:rsid w:val="00282982"/>
    <w:rsid w:val="002919DF"/>
    <w:rsid w:val="00293DF6"/>
    <w:rsid w:val="002B7C25"/>
    <w:rsid w:val="002C168A"/>
    <w:rsid w:val="002C5D65"/>
    <w:rsid w:val="002D1AAB"/>
    <w:rsid w:val="002D2022"/>
    <w:rsid w:val="002D2205"/>
    <w:rsid w:val="002D253D"/>
    <w:rsid w:val="002D375F"/>
    <w:rsid w:val="002E1921"/>
    <w:rsid w:val="002E27E1"/>
    <w:rsid w:val="002E35C7"/>
    <w:rsid w:val="002E4405"/>
    <w:rsid w:val="002E615A"/>
    <w:rsid w:val="003012D7"/>
    <w:rsid w:val="003148BC"/>
    <w:rsid w:val="0032498A"/>
    <w:rsid w:val="00325A9C"/>
    <w:rsid w:val="0033105E"/>
    <w:rsid w:val="00336424"/>
    <w:rsid w:val="00341393"/>
    <w:rsid w:val="003419CE"/>
    <w:rsid w:val="00353C0C"/>
    <w:rsid w:val="003564C3"/>
    <w:rsid w:val="00363636"/>
    <w:rsid w:val="00366F8F"/>
    <w:rsid w:val="0036757D"/>
    <w:rsid w:val="0038530B"/>
    <w:rsid w:val="00393F3A"/>
    <w:rsid w:val="003A0F36"/>
    <w:rsid w:val="003A1C3D"/>
    <w:rsid w:val="003A261D"/>
    <w:rsid w:val="003A7A6B"/>
    <w:rsid w:val="003B0D86"/>
    <w:rsid w:val="003B366F"/>
    <w:rsid w:val="003B7E5B"/>
    <w:rsid w:val="003D43D1"/>
    <w:rsid w:val="003D64EE"/>
    <w:rsid w:val="003D7397"/>
    <w:rsid w:val="003D7A04"/>
    <w:rsid w:val="003E2506"/>
    <w:rsid w:val="003E59E4"/>
    <w:rsid w:val="003E7C4F"/>
    <w:rsid w:val="003F04A4"/>
    <w:rsid w:val="00400CAC"/>
    <w:rsid w:val="00422EED"/>
    <w:rsid w:val="004231DE"/>
    <w:rsid w:val="00432906"/>
    <w:rsid w:val="004410BD"/>
    <w:rsid w:val="004509D3"/>
    <w:rsid w:val="004555F3"/>
    <w:rsid w:val="00455FF7"/>
    <w:rsid w:val="0045614C"/>
    <w:rsid w:val="0046267A"/>
    <w:rsid w:val="00463405"/>
    <w:rsid w:val="0046390F"/>
    <w:rsid w:val="0046544A"/>
    <w:rsid w:val="00466618"/>
    <w:rsid w:val="0046710C"/>
    <w:rsid w:val="004678BF"/>
    <w:rsid w:val="00470DF8"/>
    <w:rsid w:val="00480A96"/>
    <w:rsid w:val="004831B1"/>
    <w:rsid w:val="00484B77"/>
    <w:rsid w:val="00487748"/>
    <w:rsid w:val="004949CE"/>
    <w:rsid w:val="00495BF8"/>
    <w:rsid w:val="004A1669"/>
    <w:rsid w:val="004C28D0"/>
    <w:rsid w:val="004D51F0"/>
    <w:rsid w:val="004D7B28"/>
    <w:rsid w:val="004E1875"/>
    <w:rsid w:val="004F2838"/>
    <w:rsid w:val="00501547"/>
    <w:rsid w:val="005017FE"/>
    <w:rsid w:val="005041A8"/>
    <w:rsid w:val="00505A9D"/>
    <w:rsid w:val="00505C12"/>
    <w:rsid w:val="00515107"/>
    <w:rsid w:val="005178C4"/>
    <w:rsid w:val="0052261B"/>
    <w:rsid w:val="00524998"/>
    <w:rsid w:val="00525180"/>
    <w:rsid w:val="00526134"/>
    <w:rsid w:val="00530F9E"/>
    <w:rsid w:val="00537E52"/>
    <w:rsid w:val="005477E9"/>
    <w:rsid w:val="00553639"/>
    <w:rsid w:val="00557445"/>
    <w:rsid w:val="00557C32"/>
    <w:rsid w:val="00562DAD"/>
    <w:rsid w:val="00563D99"/>
    <w:rsid w:val="005766FE"/>
    <w:rsid w:val="00583941"/>
    <w:rsid w:val="00583C15"/>
    <w:rsid w:val="00585EAD"/>
    <w:rsid w:val="005A2094"/>
    <w:rsid w:val="005A4DFC"/>
    <w:rsid w:val="005A6F8C"/>
    <w:rsid w:val="005B05E5"/>
    <w:rsid w:val="005C0D07"/>
    <w:rsid w:val="005C347D"/>
    <w:rsid w:val="005C4534"/>
    <w:rsid w:val="005C4F67"/>
    <w:rsid w:val="005C6A0E"/>
    <w:rsid w:val="005D4918"/>
    <w:rsid w:val="005D4EFB"/>
    <w:rsid w:val="005E692D"/>
    <w:rsid w:val="005F206C"/>
    <w:rsid w:val="005F3FD1"/>
    <w:rsid w:val="006009AB"/>
    <w:rsid w:val="00602733"/>
    <w:rsid w:val="00610E32"/>
    <w:rsid w:val="00612DD0"/>
    <w:rsid w:val="006159B6"/>
    <w:rsid w:val="00626E5D"/>
    <w:rsid w:val="006276DC"/>
    <w:rsid w:val="00635DDD"/>
    <w:rsid w:val="00637041"/>
    <w:rsid w:val="00640402"/>
    <w:rsid w:val="006427E3"/>
    <w:rsid w:val="0066290A"/>
    <w:rsid w:val="0068341A"/>
    <w:rsid w:val="006846BB"/>
    <w:rsid w:val="00685FEB"/>
    <w:rsid w:val="00690A48"/>
    <w:rsid w:val="006A1D85"/>
    <w:rsid w:val="006A487D"/>
    <w:rsid w:val="006B26E1"/>
    <w:rsid w:val="006B45F4"/>
    <w:rsid w:val="006B6140"/>
    <w:rsid w:val="006B6B29"/>
    <w:rsid w:val="006C2416"/>
    <w:rsid w:val="006D5848"/>
    <w:rsid w:val="006D7537"/>
    <w:rsid w:val="006F0C68"/>
    <w:rsid w:val="006F1DFE"/>
    <w:rsid w:val="006F4968"/>
    <w:rsid w:val="006F57E8"/>
    <w:rsid w:val="00706CAF"/>
    <w:rsid w:val="00714A2D"/>
    <w:rsid w:val="00716A91"/>
    <w:rsid w:val="00723CC7"/>
    <w:rsid w:val="007305BC"/>
    <w:rsid w:val="007338AB"/>
    <w:rsid w:val="00735592"/>
    <w:rsid w:val="00745177"/>
    <w:rsid w:val="00760721"/>
    <w:rsid w:val="0076514B"/>
    <w:rsid w:val="00775BD9"/>
    <w:rsid w:val="00780D92"/>
    <w:rsid w:val="007A5BBD"/>
    <w:rsid w:val="007A72B4"/>
    <w:rsid w:val="007B0A5F"/>
    <w:rsid w:val="007C002B"/>
    <w:rsid w:val="007E45BA"/>
    <w:rsid w:val="007F2ED2"/>
    <w:rsid w:val="007F6156"/>
    <w:rsid w:val="007F7648"/>
    <w:rsid w:val="008212BE"/>
    <w:rsid w:val="00837CEA"/>
    <w:rsid w:val="008411A5"/>
    <w:rsid w:val="008414C3"/>
    <w:rsid w:val="00844B1A"/>
    <w:rsid w:val="00873738"/>
    <w:rsid w:val="00875C6B"/>
    <w:rsid w:val="00877E85"/>
    <w:rsid w:val="008924A1"/>
    <w:rsid w:val="00892826"/>
    <w:rsid w:val="00896207"/>
    <w:rsid w:val="008A0C08"/>
    <w:rsid w:val="008A117B"/>
    <w:rsid w:val="008A1E9E"/>
    <w:rsid w:val="008B48DD"/>
    <w:rsid w:val="008C3BCB"/>
    <w:rsid w:val="008C7E82"/>
    <w:rsid w:val="008D7925"/>
    <w:rsid w:val="008E48F7"/>
    <w:rsid w:val="009002EC"/>
    <w:rsid w:val="00903C9B"/>
    <w:rsid w:val="009074E6"/>
    <w:rsid w:val="009218D8"/>
    <w:rsid w:val="0092447C"/>
    <w:rsid w:val="00963720"/>
    <w:rsid w:val="009675C4"/>
    <w:rsid w:val="0097202A"/>
    <w:rsid w:val="0097798B"/>
    <w:rsid w:val="00983401"/>
    <w:rsid w:val="00983DB2"/>
    <w:rsid w:val="009938A2"/>
    <w:rsid w:val="009B2AF9"/>
    <w:rsid w:val="009C3B03"/>
    <w:rsid w:val="009C400F"/>
    <w:rsid w:val="009C4C2C"/>
    <w:rsid w:val="009D0F74"/>
    <w:rsid w:val="00A21DE1"/>
    <w:rsid w:val="00A220B5"/>
    <w:rsid w:val="00A278CE"/>
    <w:rsid w:val="00A3217D"/>
    <w:rsid w:val="00A43B09"/>
    <w:rsid w:val="00A46433"/>
    <w:rsid w:val="00A563B5"/>
    <w:rsid w:val="00A82D04"/>
    <w:rsid w:val="00A82EFF"/>
    <w:rsid w:val="00A84A1D"/>
    <w:rsid w:val="00A94410"/>
    <w:rsid w:val="00AA5CA6"/>
    <w:rsid w:val="00AA73CE"/>
    <w:rsid w:val="00AB1631"/>
    <w:rsid w:val="00AC3416"/>
    <w:rsid w:val="00AC564C"/>
    <w:rsid w:val="00AC5970"/>
    <w:rsid w:val="00AD0BF3"/>
    <w:rsid w:val="00AD79C3"/>
    <w:rsid w:val="00AE267D"/>
    <w:rsid w:val="00AE5B10"/>
    <w:rsid w:val="00AF049C"/>
    <w:rsid w:val="00AF644C"/>
    <w:rsid w:val="00B00F3D"/>
    <w:rsid w:val="00B01452"/>
    <w:rsid w:val="00B03502"/>
    <w:rsid w:val="00B13B67"/>
    <w:rsid w:val="00B24ACA"/>
    <w:rsid w:val="00B43324"/>
    <w:rsid w:val="00B54D7A"/>
    <w:rsid w:val="00B6037D"/>
    <w:rsid w:val="00B60ADC"/>
    <w:rsid w:val="00B66E81"/>
    <w:rsid w:val="00B821F2"/>
    <w:rsid w:val="00B83FE0"/>
    <w:rsid w:val="00BA6F78"/>
    <w:rsid w:val="00BA796D"/>
    <w:rsid w:val="00BB1D5E"/>
    <w:rsid w:val="00BB5176"/>
    <w:rsid w:val="00BC71C6"/>
    <w:rsid w:val="00BD2B85"/>
    <w:rsid w:val="00BD3A97"/>
    <w:rsid w:val="00BD6868"/>
    <w:rsid w:val="00BD6B85"/>
    <w:rsid w:val="00BE5247"/>
    <w:rsid w:val="00BE7E95"/>
    <w:rsid w:val="00BF06B3"/>
    <w:rsid w:val="00BF07C3"/>
    <w:rsid w:val="00BF0FCD"/>
    <w:rsid w:val="00BF559B"/>
    <w:rsid w:val="00C01619"/>
    <w:rsid w:val="00C023A5"/>
    <w:rsid w:val="00C06182"/>
    <w:rsid w:val="00C22A7F"/>
    <w:rsid w:val="00C3233D"/>
    <w:rsid w:val="00C32913"/>
    <w:rsid w:val="00C6180A"/>
    <w:rsid w:val="00C86525"/>
    <w:rsid w:val="00C9619C"/>
    <w:rsid w:val="00CA7926"/>
    <w:rsid w:val="00CC507F"/>
    <w:rsid w:val="00CC5E8E"/>
    <w:rsid w:val="00CD3E32"/>
    <w:rsid w:val="00CD4705"/>
    <w:rsid w:val="00CD5EA5"/>
    <w:rsid w:val="00CE6DB4"/>
    <w:rsid w:val="00CF5A65"/>
    <w:rsid w:val="00D06DBD"/>
    <w:rsid w:val="00D10F42"/>
    <w:rsid w:val="00D41AE9"/>
    <w:rsid w:val="00D43006"/>
    <w:rsid w:val="00D50985"/>
    <w:rsid w:val="00D739F5"/>
    <w:rsid w:val="00D849A2"/>
    <w:rsid w:val="00DA0A09"/>
    <w:rsid w:val="00DA2D50"/>
    <w:rsid w:val="00DB3D3B"/>
    <w:rsid w:val="00DB6E58"/>
    <w:rsid w:val="00DD479E"/>
    <w:rsid w:val="00DF3EF4"/>
    <w:rsid w:val="00DF76EA"/>
    <w:rsid w:val="00E0025A"/>
    <w:rsid w:val="00E0323E"/>
    <w:rsid w:val="00E06558"/>
    <w:rsid w:val="00E11CAA"/>
    <w:rsid w:val="00E14B2A"/>
    <w:rsid w:val="00E16C4B"/>
    <w:rsid w:val="00E17A73"/>
    <w:rsid w:val="00E41CDF"/>
    <w:rsid w:val="00E504DC"/>
    <w:rsid w:val="00E617C9"/>
    <w:rsid w:val="00E722F5"/>
    <w:rsid w:val="00E743F1"/>
    <w:rsid w:val="00E74EA7"/>
    <w:rsid w:val="00E764EF"/>
    <w:rsid w:val="00E81AD7"/>
    <w:rsid w:val="00E835A4"/>
    <w:rsid w:val="00E92857"/>
    <w:rsid w:val="00EA00D8"/>
    <w:rsid w:val="00EA3AF1"/>
    <w:rsid w:val="00EB747E"/>
    <w:rsid w:val="00EC3986"/>
    <w:rsid w:val="00EC5DE1"/>
    <w:rsid w:val="00ED4224"/>
    <w:rsid w:val="00EE3106"/>
    <w:rsid w:val="00EE4D09"/>
    <w:rsid w:val="00EF2676"/>
    <w:rsid w:val="00EF2B5E"/>
    <w:rsid w:val="00EF4F54"/>
    <w:rsid w:val="00F1615B"/>
    <w:rsid w:val="00F16EB9"/>
    <w:rsid w:val="00F17AD2"/>
    <w:rsid w:val="00F24A91"/>
    <w:rsid w:val="00F32A37"/>
    <w:rsid w:val="00F32AC1"/>
    <w:rsid w:val="00F345AB"/>
    <w:rsid w:val="00F36DCB"/>
    <w:rsid w:val="00F412A9"/>
    <w:rsid w:val="00F560A7"/>
    <w:rsid w:val="00F6276B"/>
    <w:rsid w:val="00F6460C"/>
    <w:rsid w:val="00F66605"/>
    <w:rsid w:val="00F71B96"/>
    <w:rsid w:val="00F7514F"/>
    <w:rsid w:val="00FB0B18"/>
    <w:rsid w:val="00FB0FED"/>
    <w:rsid w:val="00FB3838"/>
    <w:rsid w:val="00FB5CF0"/>
    <w:rsid w:val="00FB7114"/>
    <w:rsid w:val="00FD485D"/>
    <w:rsid w:val="00FF1627"/>
    <w:rsid w:val="00FF458A"/>
    <w:rsid w:val="00FF77B0"/>
    <w:rsid w:val="1972304F"/>
    <w:rsid w:val="3276452D"/>
    <w:rsid w:val="463C45F2"/>
    <w:rsid w:val="67B05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0"/>
    <w:pPr>
      <w:tabs>
        <w:tab w:val="center" w:pos="4153"/>
        <w:tab w:val="right" w:pos="8306"/>
      </w:tabs>
      <w:snapToGrid w:val="0"/>
      <w:jc w:val="left"/>
    </w:pPr>
    <w:rPr>
      <w:sz w:val="18"/>
      <w:szCs w:val="18"/>
    </w:rPr>
  </w:style>
  <w:style w:type="paragraph" w:styleId="5">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character" w:styleId="10">
    <w:name w:val="Hyperlink"/>
    <w:basedOn w:val="8"/>
    <w:unhideWhenUsed/>
    <w:qFormat/>
    <w:uiPriority w:val="99"/>
    <w:rPr>
      <w:color w:val="0000FF" w:themeColor="hyperlink"/>
      <w:u w:val="single"/>
    </w:rPr>
  </w:style>
  <w:style w:type="character" w:customStyle="1" w:styleId="11">
    <w:name w:val="页眉 Char"/>
    <w:basedOn w:val="8"/>
    <w:link w:val="5"/>
    <w:uiPriority w:val="99"/>
    <w:rPr>
      <w:sz w:val="18"/>
      <w:szCs w:val="18"/>
    </w:rPr>
  </w:style>
  <w:style w:type="character" w:customStyle="1" w:styleId="12">
    <w:name w:val="页脚 Char"/>
    <w:basedOn w:val="8"/>
    <w:link w:val="4"/>
    <w:uiPriority w:val="99"/>
    <w:rPr>
      <w:sz w:val="18"/>
      <w:szCs w:val="18"/>
    </w:rPr>
  </w:style>
  <w:style w:type="character" w:customStyle="1" w:styleId="13">
    <w:name w:val="批注框文本 Char"/>
    <w:basedOn w:val="8"/>
    <w:link w:val="3"/>
    <w:semiHidden/>
    <w:qFormat/>
    <w:uiPriority w:val="99"/>
    <w:rPr>
      <w:sz w:val="18"/>
      <w:szCs w:val="18"/>
    </w:rPr>
  </w:style>
  <w:style w:type="character" w:customStyle="1" w:styleId="14">
    <w:name w:val="标题 1 Char"/>
    <w:basedOn w:val="8"/>
    <w:link w:val="2"/>
    <w:qFormat/>
    <w:uiPriority w:val="9"/>
    <w:rPr>
      <w:rFonts w:ascii="宋体" w:hAnsi="宋体" w:eastAsia="宋体" w:cs="宋体"/>
      <w:b/>
      <w:bCs/>
      <w:kern w:val="36"/>
      <w:sz w:val="48"/>
      <w:szCs w:val="48"/>
    </w:rPr>
  </w:style>
  <w:style w:type="paragraph" w:styleId="15">
    <w:name w:val="List Paragraph"/>
    <w:basedOn w:val="1"/>
    <w:qFormat/>
    <w:uiPriority w:val="34"/>
    <w:pPr>
      <w:ind w:firstLine="420" w:firstLineChars="200"/>
    </w:pPr>
    <w:rPr>
      <w:rFonts w:ascii="Times New Roman" w:hAnsi="Times New Roman" w:eastAsia="仿宋_GB2312" w:cs="Times New Roman"/>
      <w:sz w:val="32"/>
      <w:szCs w:val="20"/>
    </w:rPr>
  </w:style>
  <w:style w:type="table" w:customStyle="1" w:styleId="16">
    <w:name w:val="网格型1"/>
    <w:basedOn w:val="6"/>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2819FB-978E-43DD-AB07-7546EAAA0221}">
  <ds:schemaRefs/>
</ds:datastoreItem>
</file>

<file path=docProps/app.xml><?xml version="1.0" encoding="utf-8"?>
<Properties xmlns="http://schemas.openxmlformats.org/officeDocument/2006/extended-properties" xmlns:vt="http://schemas.openxmlformats.org/officeDocument/2006/docPropsVTypes">
  <Template>Normal.dotm</Template>
  <Company>gjc</Company>
  <Pages>23</Pages>
  <Words>1622</Words>
  <Characters>9247</Characters>
  <Lines>77</Lines>
  <Paragraphs>21</Paragraphs>
  <TotalTime>0</TotalTime>
  <ScaleCrop>false</ScaleCrop>
  <LinksUpToDate>false</LinksUpToDate>
  <CharactersWithSpaces>10848</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2021-03-19T07:41:00Z</dcterms:created>
  <dc:creator>lenovo</dc:creator>
  <cp:lastModifiedBy>琉璃</cp:lastModifiedBy>
  <cp:lastPrinted>2021-02-24T10:18:00Z</cp:lastPrinted>
  <dcterms:modified xsi:type="dcterms:W3CDTF">2021-06-25T08:13:17Z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29FBBC7D09AC4EEDB298B6BC7BC43333</vt:lpwstr>
  </property>
</Properties>
</file>